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pi8xf1j6rxh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KOMUNIKACJI ELEKTRONICZNEJ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Supernova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y8zj2xac8c1i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komunikacji elektronicznej obowiązujące w Szkole.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Komunikacja elektroniczna może odbywać się z wykorzystaniem:</w:t>
        <w:br w:type="textWrapping"/>
        <w:t xml:space="preserve"> a) dziennika elektronicznego;</w:t>
        <w:br w:type="textWrapping"/>
        <w:t xml:space="preserve"> b) poczty elektronicznej;</w:t>
        <w:br w:type="textWrapping"/>
        <w:t xml:space="preserve"> c) platform edukacyjnych;</w:t>
        <w:br w:type="textWrapping"/>
        <w:t xml:space="preserve"> d) komunikatorów zaakceptowanych przez Szkołę.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1ggpghdba6gp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Pracownicy Szkoły są zobowiązani do przestrzegania zasad bezpieczeństwa informacji oraz ochrony danych osobowych.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Zabrania się udostępniania danych lub informacji osobom nieuprawnionym.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ogduxfdemcoa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Komunikacja elektroniczna powinna odbywać się z poszanowaniem zasad kultury osobistej oraz bezpieczeństwa uczestników.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kontaktów online obowiązują standardy ochrony małoletnich.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46ala30cv2s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uczniów, rodziców oraz pracowników Szkoły korzystających z komunikacji elektronicznej.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skuteczne przekazanie informacji lub dokumentacji uznaje się przesłanie wiadomości na adres poczty elektronicznej wskazany przez rodzica lub pełnoletniego ucznia w dokumentacji szkolnej lub formularzu zgłoszeniowym ucznia.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może wymagać potwierdzenia odbioru wiadomości lub dokumentacji w formie elektronicznej.</w:t>
      </w:r>
    </w:p>
    <w:p w:rsidR="00000000" w:rsidDel="00000000" w:rsidP="00000000" w:rsidRDefault="00000000" w:rsidRPr="00000000" w14:paraId="00000011">
      <w:pPr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